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26-335</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400</w:t>
      </w:r>
    </w:p>
    <w:p>
      <w:pPr>
        <w:spacing w:before="0" w:after="0" w:line="480"/>
        <w:ind w:left="120"/>
        <w:jc w:val="center"/>
      </w:pPr>
      <w:r>
        <w:rPr>
          <w:rFonts w:ascii="Times New Roman" w:hAnsi="Times New Roman"/>
          <w:b w:val="false"/>
          <w:i w:val="false"/>
          <w:color w:val="000000"/>
          <w:sz w:val="24"/>
        </w:rPr>
        <w:t>“Vehicle Registration and Certificate of Title”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321.20 as amended by 2026 Iowa Acts, Senate File 2189; and 321.134</w:t>
      </w:r>
    </w:p>
    <w:p>
      <w:pPr>
        <w:spacing w:before="0" w:after="0" w:line="480"/>
        <w:ind w:left="120"/>
        <w:jc w:val="both"/>
      </w:pPr>
      <w:r>
        <w:rPr>
          <w:rFonts w:ascii="Times New Roman" w:hAnsi="Times New Roman"/>
          <w:b w:val="false"/>
          <w:i w:val="false"/>
          <w:color w:val="000000"/>
          <w:sz w:val="24"/>
        </w:rPr>
        <w:t>State or federal law(s) implemented by the rulemaking: Iowa Code section 321.20 as amended by 2026 Iowa Acts, Senate File 2189; sections 321.34, 321.126 and 321.134; and 2026 Iowa Acts, Senate File 2088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9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Conference ID: 760 073 163#</w:t>
            </w:r>
            <w:r>
              <w:br/>
            </w:r>
            <w:r>
              <w:rPr>
                <w:rFonts w:ascii="Times New Roman" w:hAnsi="Times New Roman"/>
                <w:b w:val="false"/>
                <w:i w:val="false"/>
                <w:color w:val="000000"/>
                <w:sz w:val="14"/>
              </w:rPr>
              <w:t>Or dial: 515.817.6093</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align the rules with 2026 Iowa Acts, Senate Files 2088 and 2189, which, respectively, amend the Iowa Code to rename the Department’s records system in Iowa Code section 321.31 and to authorize nonresidents owning real property in Iowa to register and title their vehicle in Iowa upon presentation of their nonresident identification and proof of Iowa property ownership. This proposed rulemaking also clarifies the Department’s existing authority to establish the random letter‑number sequence for nonpersonalized license plates, makes a technical citation update within the chapter, and amends the rules to align with the underlying statute regarding payment of registration fees when a vehicle is removed from storage.</w:t>
      </w:r>
    </w:p>
    <w:p>
      <w:pPr>
        <w:spacing w:before="0" w:after="0" w:line="480"/>
        <w:ind w:left="120"/>
        <w:jc w:val="both"/>
      </w:pPr>
      <w:r>
        <w:rPr>
          <w:rFonts w:ascii="Times New Roman" w:hAnsi="Times New Roman"/>
          <w:b w:val="false"/>
          <w:i w:val="false"/>
          <w:color w:val="000000"/>
          <w:sz w:val="24"/>
        </w:rPr>
        <w:t>    References to Iowa Code chapter 321 are to that chapter as amended by 2026 Iowa Acts, Senate Files 2088 and 2189, including section 321.20(1)“f” as amended by Senate File 2189.</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rulemaking beyond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Nonresidents who own property in Iowa but who do not hold an Iowa driver’s license will benefit from the ability to register and title their vehicle in Iowa, consistent with the new statutory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This proposed rulemaking is required to conform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this proposed rulemaking, which is compliance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from this proposed rulemaking beyond that of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400.2(10)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400.2(10)</w:t>
      </w:r>
      <w:r>
        <w:rPr>
          <w:rFonts w:ascii="Times New Roman" w:hAnsi="Times New Roman"/>
          <w:b w:val="false"/>
          <w:i w:val="false"/>
          <w:color w:val="000000"/>
          <w:sz w:val="24"/>
        </w:rPr>
        <w:t> </w:t>
      </w:r>
      <w:r>
        <w:rPr>
          <w:rFonts w:ascii="Times New Roman" w:hAnsi="Times New Roman"/>
          <w:b w:val="false"/>
          <w:i/>
          <w:color w:val="000000"/>
          <w:sz w:val="24"/>
        </w:rPr>
        <w:t xml:space="preserve">Registration plate numbers. </w:t>
      </w:r>
      <w:r>
        <w:rPr>
          <w:rFonts w:ascii="Times New Roman" w:hAnsi="Times New Roman"/>
          <w:b w:val="false"/>
          <w:i w:val="false"/>
          <w:color w:val="000000"/>
          <w:sz w:val="24"/>
        </w:rPr>
        <w:t xml:space="preserve">Except for registration plates issued with a specific combination of numerals and letters requested by the owner pursuant to Iowa Code section </w:t>
      </w:r>
      <w:hyperlink r:id="rId5">
        <w:r>
          <w:rPr>
            <w:rStyle w:val="Hyperlink"/>
            <w:rFonts w:ascii="Times New Roman" w:hAnsi="Times New Roman"/>
            <w:b w:val="false"/>
            <w:i w:val="false"/>
            <w:color w:val="000000"/>
            <w:sz w:val="24"/>
          </w:rPr>
          <w:t>321.34(5)</w:t>
        </w:r>
      </w:hyperlink>
      <w:r>
        <w:rPr>
          <w:rFonts w:ascii="Times New Roman" w:hAnsi="Times New Roman"/>
          <w:b w:val="false"/>
          <w:i w:val="false"/>
          <w:color w:val="000000"/>
          <w:sz w:val="24"/>
        </w:rPr>
        <w:t xml:space="preserve">, all registration plates issued and assigned under Iowa Code chapter </w:t>
      </w:r>
      <w:hyperlink r:id="rId6">
        <w:r>
          <w:rPr>
            <w:rStyle w:val="Hyperlink"/>
            <w:rFonts w:ascii="Times New Roman" w:hAnsi="Times New Roman"/>
            <w:b w:val="false"/>
            <w:i w:val="false"/>
            <w:color w:val="000000"/>
            <w:sz w:val="24"/>
          </w:rPr>
          <w:t>321</w:t>
        </w:r>
      </w:hyperlink>
      <w:r>
        <w:rPr>
          <w:rFonts w:ascii="Times New Roman" w:hAnsi="Times New Roman"/>
          <w:b w:val="false"/>
          <w:i w:val="false"/>
          <w:color w:val="000000"/>
          <w:sz w:val="24"/>
        </w:rPr>
        <w:t xml:space="preserve"> consist of a random combination of numerals and letters in a sequence determined by the department.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400.3(1)“e”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vehicle color. If the color is not already listed in the department’s </w:t>
      </w:r>
      <w:r>
        <w:rPr>
          <w:rFonts w:ascii="Times New Roman" w:hAnsi="Times New Roman"/>
          <w:b w:val="false"/>
          <w:i w:val="false"/>
          <w:strike/>
          <w:color w:val="000000"/>
          <w:sz w:val="24"/>
        </w:rPr>
        <w:t>vehicle registration and titling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records</w:t>
      </w:r>
      <w:r>
        <w:rPr>
          <w:rFonts w:ascii="Times New Roman" w:hAnsi="Times New Roman"/>
          <w:b w:val="false"/>
          <w:i w:val="false"/>
          <w:color w:val="000000"/>
          <w:sz w:val="24"/>
        </w:rPr>
        <w:t xml:space="preserve"> system, then the county treasurer selects the color that most closely matches the application.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400.3(2)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400.3(2)</w:t>
      </w:r>
      <w:r>
        <w:rPr>
          <w:rFonts w:ascii="Times New Roman" w:hAnsi="Times New Roman"/>
          <w:b w:val="false"/>
          <w:i w:val="false"/>
          <w:color w:val="000000"/>
          <w:sz w:val="24"/>
        </w:rPr>
        <w:t> </w:t>
      </w:r>
      <w:r>
        <w:rPr>
          <w:rFonts w:ascii="Times New Roman" w:hAnsi="Times New Roman"/>
          <w:b w:val="false"/>
          <w:i/>
          <w:color w:val="000000"/>
          <w:sz w:val="24"/>
        </w:rPr>
        <w:t xml:space="preserve">Information about </w:t>
      </w:r>
      <w:r>
        <w:rPr>
          <w:rFonts w:ascii="Times New Roman" w:hAnsi="Times New Roman"/>
          <w:b w:val="false"/>
          <w:i/>
          <w:strike/>
          <w:color w:val="000000"/>
          <w:sz w:val="24"/>
        </w:rPr>
        <w:t>owner, lessee and primary user</w:t>
      </w:r>
      <w:r>
        <w:rPr>
          <w:rFonts w:ascii="Times New Roman" w:hAnsi="Times New Roman"/>
          <w:b w:val="false"/>
          <w:i/>
          <w:color w:val="000000"/>
          <w:sz w:val="24"/>
          <w:u w:val="single"/>
        </w:rPr>
        <w:t> </w:t>
      </w:r>
      <w:r>
        <w:rPr>
          <w:rFonts w:ascii="Times New Roman" w:hAnsi="Times New Roman"/>
          <w:b w:val="false"/>
          <w:i/>
          <w:color w:val="000000"/>
          <w:sz w:val="24"/>
          <w:u w:val="single"/>
        </w:rPr>
        <w:t>authorized representatives</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A firm, association, corporation, or trust that is not required to have a federal employer identification number shall disclose the social security number, Iowa driver’s license number or Iowa nonoperator’s identification card number of an authorized representative of the firm, association, corporation, or trust. The authorized representative of a trust is the trustee unless otherwise specified in the trust agreement or the certification of trust as defined in Iowa Code section </w:t>
      </w:r>
      <w:hyperlink r:id="rId7">
        <w:r>
          <w:rPr>
            <w:rStyle w:val="Hyperlink"/>
            <w:rFonts w:ascii="Times New Roman" w:hAnsi="Times New Roman"/>
            <w:b w:val="false"/>
            <w:i w:val="false"/>
            <w:color w:val="000000"/>
            <w:sz w:val="24"/>
          </w:rPr>
          <w:t>633A.4604</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If the firm, association, corporation, or trust owns real property in Iowa, an out-of-state driver’s license of an authorized representative may be provided if accompanied by proof of Iowa real property ownership under subrule </w:t>
      </w:r>
      <w:hyperlink r:id="rId8">
        <w:r>
          <w:rPr>
            <w:rStyle w:val="Hyperlink"/>
            <w:rFonts w:ascii="Times New Roman" w:hAnsi="Times New Roman"/>
            <w:b w:val="false"/>
            <w:i w:val="false"/>
            <w:color w:val="000000"/>
            <w:sz w:val="24"/>
            <w:u w:val="single"/>
          </w:rPr>
          <w:t>400.4(11)</w:t>
        </w:r>
      </w:hyperlink>
      <w:r>
        <w:rPr>
          <w:rFonts w:ascii="Times New Roman" w:hAnsi="Times New Roman"/>
          <w:b w:val="false"/>
          <w:i w:val="false"/>
          <w:color w:val="000000"/>
          <w:sz w:val="24"/>
          <w:u w:val="single"/>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400.4(11)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400.4(11)</w:t>
      </w:r>
      <w:r>
        <w:rPr>
          <w:rFonts w:ascii="Times New Roman" w:hAnsi="Times New Roman"/>
          <w:b w:val="false"/>
          <w:i w:val="false"/>
          <w:color w:val="000000"/>
          <w:sz w:val="24"/>
        </w:rPr>
        <w:t> </w:t>
      </w:r>
      <w:r>
        <w:rPr>
          <w:rFonts w:ascii="Times New Roman" w:hAnsi="Times New Roman"/>
          <w:b w:val="false"/>
          <w:i/>
          <w:color w:val="000000"/>
          <w:sz w:val="24"/>
        </w:rPr>
        <w:t xml:space="preserve">Vehicles owned by nonresidents. </w:t>
      </w:r>
      <w:r>
        <w:rPr>
          <w:rFonts w:ascii="Times New Roman" w:hAnsi="Times New Roman"/>
          <w:b w:val="false"/>
          <w:i w:val="false"/>
          <w:color w:val="000000"/>
          <w:sz w:val="24"/>
        </w:rPr>
        <w:t xml:space="preserve">An applicant who is a nonresident of Iowa may apply for an Iowa certificate of title and registration pursuant to Iowa Code section </w:t>
      </w:r>
      <w:hyperlink r:id="rId9">
        <w:r>
          <w:rPr>
            <w:rStyle w:val="Hyperlink"/>
            <w:rFonts w:ascii="Times New Roman" w:hAnsi="Times New Roman"/>
            <w:b w:val="false"/>
            <w:i w:val="false"/>
            <w:color w:val="000000"/>
            <w:sz w:val="24"/>
          </w:rPr>
          <w:t>321.20(1)</w:t>
        </w:r>
      </w:hyperlink>
      <w:r>
        <w:rPr>
          <w:rFonts w:ascii="Times New Roman" w:hAnsi="Times New Roman"/>
          <w:b w:val="false"/>
          <w:i/>
          <w:color w:val="000000"/>
          <w:sz w:val="24"/>
        </w:rPr>
        <w:t>“f.”</w:t>
      </w:r>
      <w:r>
        <w:rPr>
          <w:rFonts w:ascii="Times New Roman" w:hAnsi="Times New Roman"/>
          <w:b w:val="false"/>
          <w:i w:val="false"/>
          <w:color w:val="000000"/>
          <w:sz w:val="24"/>
        </w:rPr>
        <w:t xml:space="preserve"> For purposes of implementing Iowa Code section </w:t>
      </w:r>
      <w:hyperlink r:id="rId10">
        <w:r>
          <w:rPr>
            <w:rStyle w:val="Hyperlink"/>
            <w:rFonts w:ascii="Times New Roman" w:hAnsi="Times New Roman"/>
            <w:b w:val="false"/>
            <w:i w:val="false"/>
            <w:color w:val="000000"/>
            <w:sz w:val="24"/>
          </w:rPr>
          <w:t>321.20(1)</w:t>
        </w:r>
      </w:hyperlink>
      <w:r>
        <w:rPr>
          <w:rFonts w:ascii="Times New Roman" w:hAnsi="Times New Roman"/>
          <w:b w:val="false"/>
          <w:i/>
          <w:color w:val="000000"/>
          <w:sz w:val="24"/>
        </w:rPr>
        <w:t>“f”</w:t>
      </w:r>
      <w:r>
        <w:rPr>
          <w:rFonts w:ascii="Times New Roman" w:hAnsi="Times New Roman"/>
          <w:b w:val="false"/>
          <w:i w:val="false"/>
          <w:color w:val="000000"/>
          <w:sz w:val="24"/>
        </w:rPr>
        <w:t>(2), any of the following constitute proof of ownership of real property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Copy of a property deed with a file-stamped date from the issuing Iowa recorder’s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Copy of a mortgage agreement for the Iowa property with signatures of all parties to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Copy of an installment purchase agreement for the Iowa property with signatures of all parties to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Verification of Iowa property ownership conducted by the county treasurer’s office, including review of online property ownership records or other confirmation obtained from a county recorder’s office.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400.12(1)“b”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search the department’s </w:t>
      </w:r>
      <w:r>
        <w:rPr>
          <w:rFonts w:ascii="Times New Roman" w:hAnsi="Times New Roman"/>
          <w:b w:val="false"/>
          <w:i w:val="false"/>
          <w:strike/>
          <w:color w:val="000000"/>
          <w:sz w:val="24"/>
        </w:rPr>
        <w:t>vehicle title and registration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records</w:t>
      </w:r>
      <w:r>
        <w:rPr>
          <w:rFonts w:ascii="Times New Roman" w:hAnsi="Times New Roman"/>
          <w:b w:val="false"/>
          <w:i w:val="false"/>
          <w:color w:val="000000"/>
          <w:sz w:val="24"/>
        </w:rPr>
        <w:t xml:space="preserve"> system to determine if there is an owner of record or security interest for the vehicle and if the vehicle has been reported stolen or embezzled.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761—400.17(307,321)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761—400.17</w:t>
      </w:r>
      <w:r>
        <w:rPr>
          <w:rFonts w:ascii="Times New Roman" w:hAnsi="Times New Roman"/>
          <w:b/>
          <w:i w:val="false"/>
          <w:color w:val="000000"/>
          <w:sz w:val="24"/>
        </w:rPr>
        <w:t xml:space="preserve">(307,321) </w:t>
      </w:r>
      <w:r>
        <w:rPr>
          <w:rFonts w:ascii="Times New Roman" w:hAnsi="Times New Roman"/>
          <w:b/>
          <w:i w:val="false"/>
          <w:color w:val="000000"/>
          <w:sz w:val="24"/>
        </w:rPr>
        <w:t xml:space="preserve">Registration of motor vehicle weighing 55,000 pounds or more. </w:t>
      </w:r>
      <w:r>
        <w:rPr>
          <w:rFonts w:ascii="Times New Roman" w:hAnsi="Times New Roman"/>
          <w:b w:val="false"/>
          <w:i w:val="false"/>
          <w:color w:val="000000"/>
          <w:sz w:val="24"/>
        </w:rPr>
        <w:t xml:space="preserve">When applying for registration or renewal of registration for a motor vehicle weighing 55,000 pounds or more, the owner shall present to the department or to the county treasurer proof of compliance with the federal heavy vehicle use tax required by </w:t>
      </w:r>
      <w:r>
        <w:rPr>
          <w:rFonts w:ascii="Times New Roman" w:hAnsi="Times New Roman"/>
          <w:b w:val="false"/>
          <w:i w:val="false"/>
          <w:color w:val="000000"/>
          <w:sz w:val="24"/>
        </w:rPr>
        <w:t>26 CFR Part 41</w:t>
      </w:r>
      <w:r>
        <w:rPr>
          <w:rFonts w:ascii="Times New Roman" w:hAnsi="Times New Roman"/>
          <w:b w:val="false"/>
          <w:i w:val="false"/>
          <w:color w:val="000000"/>
          <w:sz w:val="24"/>
        </w:rPr>
        <w:t xml:space="preserve"> in effect as of April 1,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400.17(1)</w:t>
      </w:r>
      <w:r>
        <w:rPr>
          <w:rFonts w:ascii="Times New Roman" w:hAnsi="Times New Roman"/>
          <w:b w:val="false"/>
          <w:i w:val="false"/>
          <w:color w:val="000000"/>
          <w:sz w:val="24"/>
        </w:rPr>
        <w:t xml:space="preserve"> and </w:t>
      </w:r>
      <w:r>
        <w:rPr>
          <w:rFonts w:ascii="Times New Roman" w:hAnsi="Times New Roman"/>
          <w:b/>
          <w:i w:val="false"/>
          <w:color w:val="000000"/>
          <w:sz w:val="24"/>
        </w:rPr>
        <w:t>400.17(2)</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307.30</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321.20</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400.24(4)“b”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vehicle was placed in storage by the previous owner. The registration fee </w:t>
      </w:r>
      <w:r>
        <w:rPr>
          <w:rFonts w:ascii="Times New Roman" w:hAnsi="Times New Roman"/>
          <w:b w:val="false"/>
          <w:i w:val="false"/>
          <w:strike/>
          <w:color w:val="000000"/>
          <w:sz w:val="24"/>
        </w:rPr>
        <w:t>due</w:t>
      </w:r>
      <w:r>
        <w:rPr>
          <w:rFonts w:ascii="Times New Roman" w:hAnsi="Times New Roman"/>
          <w:b w:val="false"/>
          <w:i w:val="false"/>
          <w:color w:val="000000"/>
          <w:sz w:val="24"/>
        </w:rPr>
        <w:t xml:space="preserve"> shall be </w:t>
      </w:r>
      <w:r>
        <w:rPr>
          <w:rFonts w:ascii="Times New Roman" w:hAnsi="Times New Roman"/>
          <w:b w:val="false"/>
          <w:i w:val="false"/>
          <w:strike/>
          <w:color w:val="000000"/>
          <w:sz w:val="24"/>
        </w:rPr>
        <w:t>computed from and commence the month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annual registration fee for the registration year, without penalty, at the time</w:t>
      </w:r>
      <w:r>
        <w:rPr>
          <w:rFonts w:ascii="Times New Roman" w:hAnsi="Times New Roman"/>
          <w:b w:val="false"/>
          <w:i w:val="false"/>
          <w:color w:val="000000"/>
          <w:sz w:val="24"/>
        </w:rPr>
        <w:t xml:space="preserve"> the vehicle is removed from storage.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400.33(1)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of a vehicle upon which the registration fee is not delinquent may surrender all registration plates for the vehicle to the county treasurer where the vehicle is registered and has the right to register the vehicle later upon payment of the annual registration fee </w:t>
      </w:r>
      <w:r>
        <w:rPr>
          <w:rFonts w:ascii="Times New Roman" w:hAnsi="Times New Roman"/>
          <w:b w:val="false"/>
          <w:i w:val="false"/>
          <w:strike/>
          <w:color w:val="000000"/>
          <w:sz w:val="24"/>
        </w:rPr>
        <w:t>due, which shall be computed from and commence the month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the registration year, without penalty, at the time</w:t>
      </w:r>
      <w:r>
        <w:rPr>
          <w:rFonts w:ascii="Times New Roman" w:hAnsi="Times New Roman"/>
          <w:b w:val="false"/>
          <w:i w:val="false"/>
          <w:color w:val="000000"/>
          <w:sz w:val="24"/>
        </w:rPr>
        <w:t xml:space="preserve"> the vehicle is removed from storage. Payment of a registration fee  is not  required when the vehicle is removed from storage within the current registration year, provided that registration fees have not been refunded. Surrendered plates shall be destroyed. When a vehicle is removed from storage, the fee is $5 for a set of replacement plates.</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ara.siedsma@iowadot.us" Type="http://schemas.openxmlformats.org/officeDocument/2006/relationships/hyperlink" Id="rId4"/>
    <Relationship TargetMode="External" Target="https://www.legis.iowa.gov/docs/ico/chapter/321.34.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633A.4604.pdf" Type="http://schemas.openxmlformats.org/officeDocument/2006/relationships/hyperlink" Id="rId7"/>
    <Relationship TargetMode="External" Target="https://www.legis.iowa.gov/docs/iac/rule/761.400.4.pdf" Type="http://schemas.openxmlformats.org/officeDocument/2006/relationships/hyperlink" Id="rId8"/>
    <Relationship TargetMode="External" Target="https://www.legis.iowa.gov/docs/ico/chapter/321.20.pdf" Type="http://schemas.openxmlformats.org/officeDocument/2006/relationships/hyperlink" Id="rId9"/>
    <Relationship TargetMode="External" Target="https://www.legis.iowa.gov/docs/ico/chapter/321.20.pdf" Type="http://schemas.openxmlformats.org/officeDocument/2006/relationships/hyperlink" Id="rId10"/>
    <Relationship TargetMode="External" Target="https://www.legis.iowa.gov/docs/ico/chapter/307.30.pdf" Type="http://schemas.openxmlformats.org/officeDocument/2006/relationships/hyperlink" Id="rId11"/>
    <Relationship TargetMode="External" Target="https://www.legis.iowa.gov/docs/ico/chapter/321.20.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